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Style w:val="664"/>
        <w:pBdr/>
        <w:spacing w:after="0"/>
        <w:ind/>
        <w:jc w:val="center"/>
        <w:rPr>
          <w:rFonts w:ascii="Times New Roman" w:hAnsi="Times New Roman" w:eastAsia="Times New Roman"/>
          <w:b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shd w:val="clear" w:color="auto" w:fill="ffffff"/>
          <w:lang w:eastAsia="ru-RU"/>
        </w:rPr>
        <w:t xml:space="preserve">Анализ работы с обращениями граждан</w:t>
      </w:r>
      <w:r>
        <w:rPr>
          <w:rFonts w:ascii="Times New Roman" w:hAnsi="Times New Roman" w:eastAsia="Times New Roman"/>
          <w:b/>
          <w:sz w:val="28"/>
          <w:szCs w:val="28"/>
          <w:shd w:val="clear" w:color="auto" w:fill="ffffff"/>
          <w:lang w:eastAsia="ru-RU"/>
        </w:rPr>
      </w:r>
    </w:p>
    <w:p>
      <w:pPr>
        <w:pStyle w:val="664"/>
        <w:pBdr/>
        <w:spacing w:after="0"/>
        <w:ind w:firstLine="851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по муниципальному образованию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Нижнеуратьминск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о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е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е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поселени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е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Нижнекамского муниципального района 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Республики Татарстан за 2024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664"/>
        <w:pBdr/>
        <w:spacing w:after="0"/>
        <w:ind w:firstLine="72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tbl>
      <w:tblPr>
        <w:tblW w:w="0" w:type="auto"/>
        <w:tblInd w:w="2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6804"/>
        <w:gridCol w:w="1701"/>
        <w:gridCol w:w="1701"/>
      </w:tblGrid>
      <w:tr>
        <w:trPr>
          <w:trHeight w:val="31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4" w:type="dxa"/>
            <w:vAlign w:val="top"/>
            <w:vMerge w:val="restart"/>
            <w:textDirection w:val="lrTb"/>
            <w:noWrap w:val="false"/>
          </w:tcPr>
          <w:p>
            <w:pPr>
              <w:pStyle w:val="664"/>
              <w:pBdr/>
              <w:spacing w:after="0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 государственной власти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64"/>
              <w:pBdr/>
              <w:spacing w:after="0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2" w:type="dxa"/>
            <w:vAlign w:val="top"/>
            <w:textDirection w:val="lrTb"/>
            <w:noWrap w:val="false"/>
          </w:tcPr>
          <w:p>
            <w:pPr>
              <w:pStyle w:val="664"/>
              <w:pBdr/>
              <w:spacing w:after="0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Количество обращений граждан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4" w:type="auto"/>
            <w:vAlign w:val="center"/>
            <w:vMerge w:val="continue"/>
            <w:textDirection w:val="lrTb"/>
            <w:noWrap w:val="false"/>
          </w:tcPr>
          <w:p>
            <w:pPr>
              <w:pStyle w:val="664"/>
              <w:pBdr/>
              <w:spacing w:after="0"/>
              <w:ind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top"/>
            <w:textDirection w:val="lrTb"/>
            <w:noWrap w:val="false"/>
          </w:tcPr>
          <w:p>
            <w:pPr>
              <w:pStyle w:val="664"/>
              <w:pBdr/>
              <w:spacing w:after="0"/>
              <w:ind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top"/>
            <w:textDirection w:val="lrTb"/>
            <w:noWrap w:val="false"/>
          </w:tcPr>
          <w:p>
            <w:pPr>
              <w:pStyle w:val="664"/>
              <w:pBdr/>
              <w:spacing w:after="0"/>
              <w:ind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4" w:type="dxa"/>
            <w:vAlign w:val="top"/>
            <w:textDirection w:val="lrTb"/>
            <w:noWrap w:val="false"/>
          </w:tcPr>
          <w:p>
            <w:pPr>
              <w:pStyle w:val="664"/>
              <w:pBdr/>
              <w:spacing w:after="0"/>
              <w:ind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Всего обращений граждан, в т.ч.: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top"/>
            <w:textDirection w:val="lrTb"/>
            <w:noWrap w:val="false"/>
          </w:tcPr>
          <w:p>
            <w:pPr>
              <w:pStyle w:val="664"/>
              <w:pBdr/>
              <w:spacing w:after="0"/>
              <w:ind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14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top"/>
            <w:textDirection w:val="lrTb"/>
            <w:noWrap w:val="false"/>
          </w:tcPr>
          <w:p>
            <w:pPr>
              <w:pStyle w:val="664"/>
              <w:pBdr/>
              <w:spacing w:after="0"/>
              <w:ind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13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4" w:type="dxa"/>
            <w:vAlign w:val="top"/>
            <w:textDirection w:val="lrTb"/>
            <w:noWrap w:val="false"/>
          </w:tcPr>
          <w:p>
            <w:pPr>
              <w:pStyle w:val="664"/>
              <w:pBdr/>
              <w:spacing w:after="0"/>
              <w:ind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Главе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Нижнеуратьмин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top"/>
            <w:textDirection w:val="lrTb"/>
            <w:noWrap w:val="false"/>
          </w:tcPr>
          <w:p>
            <w:pPr>
              <w:pStyle w:val="664"/>
              <w:pBdr/>
              <w:spacing w:after="0"/>
              <w:ind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14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top"/>
            <w:textDirection w:val="lrTb"/>
            <w:noWrap w:val="false"/>
          </w:tcPr>
          <w:p>
            <w:pPr>
              <w:pStyle w:val="664"/>
              <w:pBdr/>
              <w:spacing w:after="0"/>
              <w:ind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13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</w:tbl>
    <w:p>
      <w:pPr>
        <w:pStyle w:val="664"/>
        <w:pBdr/>
        <w:spacing w:after="0" w:line="240" w:lineRule="auto"/>
        <w:ind/>
        <w:jc w:val="both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664"/>
        <w:pBdr/>
        <w:spacing w:after="0" w:line="240" w:lineRule="auto"/>
        <w:ind/>
        <w:jc w:val="both"/>
        <w:rPr>
          <w:rFonts w:ascii="Times New Roman" w:hAnsi="Times New Roman"/>
          <w:color w:val="3c4052"/>
          <w:sz w:val="24"/>
          <w:szCs w:val="24"/>
          <w:shd w:val="clear" w:color="auto" w:fill="ffffff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Особую рол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ь в деятельности исполнительного комитета занимает работа с обращениями граждан, которая построена на ответственности должностных лиц и осознании того, что обращения граждан в органы исполнительной власти – это способ защитить их права и законные интересы.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3c4052"/>
          <w:sz w:val="24"/>
          <w:szCs w:val="24"/>
          <w:shd w:val="clear" w:color="auto" w:fill="ffffff"/>
        </w:rPr>
        <w:t xml:space="preserve">Своевременное  и качественное разрешение проблем содержащихся в обращениях, в значительной мере способствует удовлетворению нужд и</w:t>
      </w:r>
      <w:r>
        <w:rPr>
          <w:rFonts w:ascii="Times New Roman" w:hAnsi="Times New Roman"/>
          <w:color w:val="3c4052"/>
          <w:sz w:val="24"/>
          <w:szCs w:val="24"/>
          <w:shd w:val="clear" w:color="auto" w:fill="ffffff"/>
        </w:rPr>
        <w:t xml:space="preserve"> запросов граждан, снятию напряженности в обществе.</w:t>
      </w:r>
      <w:r>
        <w:rPr>
          <w:rFonts w:ascii="Times New Roman" w:hAnsi="Times New Roman"/>
          <w:color w:val="3c4052"/>
          <w:sz w:val="24"/>
          <w:szCs w:val="24"/>
          <w:shd w:val="clear" w:color="auto" w:fill="ffffff"/>
        </w:rPr>
      </w:r>
      <w:r>
        <w:rPr>
          <w:rFonts w:ascii="Times New Roman" w:hAnsi="Times New Roman"/>
          <w:color w:val="3c4052"/>
          <w:sz w:val="24"/>
          <w:szCs w:val="24"/>
          <w:shd w:val="clear" w:color="auto" w:fill="ffffff"/>
        </w:rPr>
      </w:r>
    </w:p>
    <w:p>
      <w:pPr>
        <w:pStyle w:val="664"/>
        <w:pBdr/>
        <w:spacing w:after="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Порядок рассмотрения граждан проводится в соответствии с: </w:t>
      </w:r>
      <w:r>
        <w:rPr>
          <w:rFonts w:ascii="Times New Roman" w:hAnsi="Times New Roman"/>
          <w:sz w:val="24"/>
          <w:szCs w:val="24"/>
        </w:rPr>
      </w:r>
    </w:p>
    <w:p>
      <w:pPr>
        <w:pStyle w:val="668"/>
        <w:numPr>
          <w:ilvl w:val="0"/>
          <w:numId w:val="1"/>
        </w:numPr>
        <w:pBdr/>
        <w:spacing w:after="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Федеральным законом «О порядке рассмотрения обращений граждан Российской Федерации» от 02.05.2006 года №59-ФЗ;</w:t>
      </w:r>
      <w:r>
        <w:rPr>
          <w:rFonts w:ascii="Times New Roman" w:hAnsi="Times New Roman"/>
          <w:sz w:val="24"/>
          <w:szCs w:val="24"/>
        </w:rPr>
      </w:r>
    </w:p>
    <w:p>
      <w:pPr>
        <w:pStyle w:val="668"/>
        <w:numPr>
          <w:ilvl w:val="0"/>
          <w:numId w:val="1"/>
        </w:numPr>
        <w:pBdr/>
        <w:spacing w:after="0"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Законом Республики Татарстан «Об обращениях граждан в Республике Татарстан» от 12.05.2003 №16-ЗРТ;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68"/>
        <w:numPr>
          <w:ilvl w:val="0"/>
          <w:numId w:val="1"/>
        </w:numPr>
        <w:pBdr/>
        <w:spacing w:after="0"/>
        <w:ind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Постановление Руководител</w:t>
      </w:r>
      <w:r>
        <w:rPr>
          <w:rFonts w:ascii="Times New Roman" w:hAnsi="Times New Roman"/>
          <w:sz w:val="24"/>
          <w:szCs w:val="24"/>
        </w:rPr>
        <w:t xml:space="preserve">я исполнительного комитета  Нижнеуратьминского сельского поселения от 29.05.2020 № 4 «Об утверждении порядка проведения анализа обращений граждан, поступивших в органы местного самоуправления Нижнеуратьминского сельского поселения Нижнекамского муниципальн</w:t>
      </w:r>
      <w:r>
        <w:rPr>
          <w:rFonts w:ascii="Times New Roman" w:hAnsi="Times New Roman"/>
          <w:sz w:val="24"/>
          <w:szCs w:val="24"/>
        </w:rPr>
        <w:t xml:space="preserve">ого района Республики Татарстан.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64"/>
        <w:pBdr/>
        <w:spacing w:after="0"/>
        <w:ind w:firstLine="567"/>
        <w:jc w:val="both"/>
        <w:rPr/>
      </w:pPr>
      <w:r>
        <w:rPr>
          <w:rFonts w:ascii="Times New Roman" w:hAnsi="Times New Roman" w:eastAsia="Times New Roman"/>
          <w:sz w:val="24"/>
          <w:szCs w:val="24"/>
          <w:shd w:val="clear" w:color="auto" w:fill="ffffff"/>
          <w:lang w:eastAsia="ru-RU"/>
        </w:rPr>
        <w:t xml:space="preserve">Соблюдается единый день и часы приема граждан по личным вопросам Главой</w:t>
      </w:r>
      <w:r>
        <w:rPr>
          <w:rFonts w:ascii="Times New Roman" w:hAnsi="Times New Roman" w:eastAsia="Times New Roman"/>
          <w:sz w:val="24"/>
          <w:szCs w:val="24"/>
          <w:shd w:val="clear" w:color="auto" w:fill="ffffff"/>
          <w:lang w:eastAsia="ru-RU"/>
        </w:rPr>
        <w:t xml:space="preserve"> Поселения</w:t>
      </w:r>
      <w:r>
        <w:rPr>
          <w:rFonts w:ascii="Times New Roman" w:hAnsi="Times New Roman" w:eastAsia="Times New Roman"/>
          <w:sz w:val="24"/>
          <w:szCs w:val="24"/>
          <w:shd w:val="clear" w:color="auto" w:fill="ffffff"/>
          <w:lang w:eastAsia="ru-RU"/>
        </w:rPr>
        <w:t xml:space="preserve">.</w:t>
      </w:r>
      <w:r>
        <w:rPr>
          <w:rFonts w:ascii="Times New Roman" w:hAnsi="Times New Roman"/>
          <w:sz w:val="24"/>
          <w:szCs w:val="24"/>
          <w:lang w:eastAsia="ru-RU"/>
        </w:rPr>
      </w:r>
      <w:r/>
    </w:p>
    <w:p>
      <w:pPr>
        <w:pStyle w:val="664"/>
        <w:pBdr/>
        <w:tabs>
          <w:tab w:val="left" w:leader="none" w:pos="7088"/>
        </w:tabs>
        <w:spacing w:after="0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Время и место приема граждан размещена на официальном сайте муниципального образования «</w:t>
      </w:r>
      <w:r>
        <w:rPr>
          <w:rFonts w:ascii="Times New Roman" w:hAnsi="Times New Roman"/>
          <w:sz w:val="24"/>
          <w:szCs w:val="24"/>
          <w:lang w:eastAsia="ru-RU"/>
        </w:rPr>
        <w:t xml:space="preserve">Нижнеуратьминск</w:t>
      </w:r>
      <w:r>
        <w:rPr>
          <w:rFonts w:ascii="Times New Roman" w:hAnsi="Times New Roman"/>
          <w:sz w:val="24"/>
          <w:szCs w:val="24"/>
          <w:lang w:eastAsia="ru-RU"/>
        </w:rPr>
        <w:t xml:space="preserve">ое</w:t>
      </w:r>
      <w:r>
        <w:rPr>
          <w:rFonts w:ascii="Times New Roman" w:hAnsi="Times New Roman"/>
          <w:sz w:val="24"/>
          <w:szCs w:val="24"/>
          <w:lang w:eastAsia="ru-RU"/>
        </w:rPr>
        <w:t xml:space="preserve"> сельское поселение», а так же на входе в здание Администрации по адресу: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4235</w:t>
      </w:r>
      <w:r>
        <w:rPr>
          <w:rFonts w:ascii="Times New Roman" w:hAnsi="Times New Roman"/>
          <w:sz w:val="24"/>
          <w:szCs w:val="24"/>
          <w:lang w:eastAsia="ru-RU"/>
        </w:rPr>
        <w:t xml:space="preserve">67</w:t>
      </w:r>
      <w:r>
        <w:rPr>
          <w:rFonts w:ascii="Times New Roman" w:hAnsi="Times New Roman"/>
          <w:sz w:val="24"/>
          <w:szCs w:val="24"/>
          <w:lang w:eastAsia="ru-RU"/>
        </w:rPr>
        <w:t xml:space="preserve">, Р</w:t>
      </w:r>
      <w:r>
        <w:rPr>
          <w:rFonts w:ascii="Times New Roman" w:hAnsi="Times New Roman"/>
          <w:sz w:val="24"/>
          <w:szCs w:val="24"/>
          <w:lang w:eastAsia="ru-RU"/>
        </w:rPr>
        <w:t xml:space="preserve">еспублика Татарстан</w:t>
      </w:r>
      <w:r>
        <w:rPr>
          <w:rFonts w:ascii="Times New Roman" w:hAnsi="Times New Roman"/>
          <w:sz w:val="24"/>
          <w:szCs w:val="24"/>
          <w:lang w:eastAsia="ru-RU"/>
        </w:rPr>
        <w:t xml:space="preserve">, Нижнекамский район</w:t>
      </w:r>
      <w:r>
        <w:rPr>
          <w:rFonts w:ascii="Times New Roman" w:hAnsi="Times New Roman"/>
          <w:sz w:val="24"/>
          <w:szCs w:val="24"/>
          <w:lang w:eastAsia="ru-RU"/>
        </w:rPr>
        <w:t xml:space="preserve">,</w:t>
      </w:r>
      <w:r>
        <w:rPr>
          <w:rFonts w:ascii="Times New Roman" w:hAnsi="Times New Roman"/>
          <w:sz w:val="24"/>
          <w:szCs w:val="24"/>
          <w:lang w:eastAsia="ru-RU"/>
        </w:rPr>
        <w:t xml:space="preserve"> с.</w:t>
      </w:r>
      <w:r>
        <w:rPr>
          <w:rFonts w:ascii="Times New Roman" w:hAnsi="Times New Roman"/>
          <w:sz w:val="24"/>
          <w:szCs w:val="24"/>
          <w:lang w:eastAsia="ru-RU"/>
        </w:rPr>
        <w:t xml:space="preserve">Нижняя Уратьма</w:t>
      </w:r>
      <w:r>
        <w:rPr>
          <w:rFonts w:ascii="Times New Roman" w:hAnsi="Times New Roman"/>
          <w:sz w:val="24"/>
          <w:szCs w:val="24"/>
          <w:lang w:eastAsia="ru-RU"/>
        </w:rPr>
        <w:t xml:space="preserve">, ул. </w:t>
      </w:r>
      <w:r>
        <w:rPr>
          <w:rFonts w:ascii="Times New Roman" w:hAnsi="Times New Roman"/>
          <w:sz w:val="24"/>
          <w:szCs w:val="24"/>
          <w:lang w:eastAsia="ru-RU"/>
        </w:rPr>
        <w:t xml:space="preserve">Гагарина</w:t>
      </w:r>
      <w:r>
        <w:rPr>
          <w:rFonts w:ascii="Times New Roman" w:hAnsi="Times New Roman"/>
          <w:sz w:val="24"/>
          <w:szCs w:val="24"/>
          <w:lang w:eastAsia="ru-RU"/>
        </w:rPr>
        <w:t xml:space="preserve">, д.</w:t>
      </w:r>
      <w:r>
        <w:rPr>
          <w:rFonts w:ascii="Times New Roman" w:hAnsi="Times New Roman"/>
          <w:sz w:val="24"/>
          <w:szCs w:val="24"/>
          <w:lang w:eastAsia="ru-RU"/>
        </w:rPr>
        <w:t xml:space="preserve">43В</w:t>
      </w:r>
      <w:r>
        <w:rPr>
          <w:rFonts w:ascii="Times New Roman" w:hAnsi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664"/>
        <w:pBdr/>
        <w:spacing w:line="240" w:lineRule="auto"/>
        <w:ind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</w:t>
      </w:r>
      <w:r>
        <w:rPr>
          <w:rFonts w:ascii="Times New Roman" w:hAnsi="Times New Roman"/>
          <w:sz w:val="24"/>
          <w:szCs w:val="24"/>
          <w:lang w:eastAsia="ru-RU"/>
        </w:rPr>
        <w:t xml:space="preserve">В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202</w:t>
      </w:r>
      <w:r>
        <w:rPr>
          <w:rFonts w:ascii="Times New Roman" w:hAnsi="Times New Roman"/>
          <w:sz w:val="24"/>
          <w:szCs w:val="24"/>
          <w:lang w:eastAsia="ru-RU"/>
        </w:rPr>
        <w:t xml:space="preserve">4 году в адрес </w:t>
      </w:r>
      <w:r>
        <w:rPr>
          <w:rFonts w:ascii="Times New Roman" w:hAnsi="Times New Roman"/>
          <w:sz w:val="24"/>
          <w:szCs w:val="24"/>
          <w:lang w:eastAsia="ru-RU"/>
        </w:rPr>
        <w:t xml:space="preserve">органа местного самоуправления поступило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13</w:t>
      </w:r>
      <w:r>
        <w:rPr>
          <w:rFonts w:ascii="Times New Roman" w:hAnsi="Times New Roman"/>
          <w:sz w:val="24"/>
          <w:szCs w:val="24"/>
          <w:lang w:eastAsia="ru-RU"/>
        </w:rPr>
        <w:t xml:space="preserve"> обращений граждан,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и</w:t>
      </w:r>
      <w:r>
        <w:rPr>
          <w:rFonts w:ascii="Times New Roman" w:hAnsi="Times New Roman"/>
          <w:sz w:val="24"/>
          <w:szCs w:val="24"/>
        </w:rPr>
        <w:t xml:space="preserve">з них: 9</w:t>
      </w:r>
      <w:r>
        <w:rPr>
          <w:rFonts w:ascii="Times New Roman" w:hAnsi="Times New Roman"/>
          <w:sz w:val="24"/>
          <w:szCs w:val="24"/>
        </w:rPr>
        <w:t xml:space="preserve"> устных, </w:t>
      </w:r>
      <w:r>
        <w:rPr>
          <w:rFonts w:ascii="Times New Roman" w:hAnsi="Times New Roman"/>
          <w:sz w:val="24"/>
          <w:szCs w:val="24"/>
        </w:rPr>
        <w:t xml:space="preserve">4 - </w:t>
      </w:r>
      <w:r>
        <w:rPr>
          <w:rFonts w:ascii="Times New Roman" w:hAnsi="Times New Roman"/>
          <w:sz w:val="24"/>
          <w:szCs w:val="24"/>
        </w:rPr>
        <w:t xml:space="preserve">письменных  (в том числе 0 через ССТУ),  </w:t>
      </w:r>
      <w:r>
        <w:rPr>
          <w:rFonts w:ascii="Times New Roman" w:hAnsi="Times New Roman"/>
          <w:sz w:val="24"/>
          <w:szCs w:val="24"/>
        </w:rPr>
        <w:t xml:space="preserve">0-</w:t>
      </w:r>
      <w:r>
        <w:rPr>
          <w:rFonts w:ascii="Times New Roman" w:hAnsi="Times New Roman"/>
          <w:sz w:val="24"/>
          <w:szCs w:val="24"/>
        </w:rPr>
        <w:t xml:space="preserve"> обращение поступило через интернет-приемную сайта сельского поселения</w:t>
      </w:r>
      <w:r>
        <w:rPr>
          <w:rFonts w:ascii="Times New Roman" w:hAnsi="Times New Roman"/>
          <w:sz w:val="24"/>
          <w:szCs w:val="24"/>
        </w:rPr>
        <w:t xml:space="preserve">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что </w:t>
      </w:r>
      <w:r>
        <w:rPr>
          <w:rFonts w:ascii="Times New Roman" w:hAnsi="Times New Roman"/>
          <w:sz w:val="24"/>
          <w:szCs w:val="24"/>
          <w:lang w:eastAsia="ru-RU"/>
        </w:rPr>
        <w:t xml:space="preserve">на   </w:t>
      </w:r>
      <w:r>
        <w:rPr>
          <w:rFonts w:ascii="Times New Roman" w:hAnsi="Times New Roman"/>
          <w:sz w:val="24"/>
          <w:szCs w:val="24"/>
          <w:lang w:eastAsia="ru-RU"/>
        </w:rPr>
        <w:t xml:space="preserve">1 </w:t>
      </w:r>
      <w:r>
        <w:rPr>
          <w:rFonts w:ascii="Times New Roman" w:hAnsi="Times New Roman"/>
          <w:sz w:val="24"/>
          <w:szCs w:val="24"/>
          <w:lang w:eastAsia="ru-RU"/>
        </w:rPr>
        <w:t xml:space="preserve"> обращение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меньше</w:t>
      </w:r>
      <w:r>
        <w:rPr>
          <w:rFonts w:ascii="Times New Roman" w:hAnsi="Times New Roman"/>
          <w:sz w:val="24"/>
          <w:szCs w:val="24"/>
          <w:lang w:eastAsia="ru-RU"/>
        </w:rPr>
        <w:t xml:space="preserve">, чем в 2023</w:t>
      </w:r>
      <w:r>
        <w:rPr>
          <w:rFonts w:ascii="Times New Roman" w:hAnsi="Times New Roman"/>
          <w:sz w:val="24"/>
          <w:szCs w:val="24"/>
          <w:lang w:eastAsia="ru-RU"/>
        </w:rPr>
        <w:t xml:space="preserve"> году</w:t>
      </w:r>
      <w:r>
        <w:rPr>
          <w:rFonts w:ascii="Times New Roman" w:hAnsi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всего 1</w:t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</w:r>
      <w:r>
        <w:rPr>
          <w:rFonts w:ascii="Times New Roman" w:hAnsi="Times New Roman"/>
          <w:sz w:val="24"/>
          <w:szCs w:val="24"/>
          <w:lang w:eastAsia="ru-RU"/>
        </w:rPr>
        <w:t xml:space="preserve">3</w:t>
      </w:r>
      <w:r>
        <w:rPr>
          <w:rFonts w:ascii="Times New Roman" w:hAnsi="Times New Roman"/>
          <w:sz w:val="24"/>
          <w:szCs w:val="24"/>
          <w:lang w:eastAsia="ru-RU"/>
        </w:rPr>
        <w:t xml:space="preserve"> из </w:t>
      </w:r>
      <w:r>
        <w:rPr>
          <w:rFonts w:ascii="Times New Roman" w:hAnsi="Times New Roman"/>
          <w:sz w:val="24"/>
          <w:szCs w:val="24"/>
          <w:lang w:eastAsia="ru-RU"/>
        </w:rPr>
        <w:t xml:space="preserve">них: </w:t>
      </w:r>
      <w:r>
        <w:rPr>
          <w:rFonts w:ascii="Times New Roman" w:hAnsi="Times New Roman"/>
          <w:sz w:val="24"/>
          <w:szCs w:val="24"/>
        </w:rPr>
        <w:t xml:space="preserve">9</w:t>
      </w:r>
      <w:r>
        <w:rPr>
          <w:rFonts w:ascii="Times New Roman" w:hAnsi="Times New Roman"/>
          <w:sz w:val="24"/>
          <w:szCs w:val="24"/>
        </w:rPr>
        <w:t xml:space="preserve"> устных, </w:t>
      </w:r>
      <w:r>
        <w:rPr>
          <w:rFonts w:ascii="Times New Roman" w:hAnsi="Times New Roman"/>
          <w:sz w:val="24"/>
          <w:szCs w:val="24"/>
        </w:rPr>
        <w:t xml:space="preserve">4 письменных  (в том числе 0 через ССТУ),  0 обращений поступило через интернет-приемную сайта сельского поселения.</w:t>
      </w:r>
      <w:r>
        <w:rPr>
          <w:rFonts w:ascii="Times New Roman" w:hAnsi="Times New Roman"/>
          <w:sz w:val="24"/>
          <w:szCs w:val="24"/>
        </w:rPr>
      </w:r>
    </w:p>
    <w:p>
      <w:pPr>
        <w:pStyle w:val="664"/>
        <w:pBdr/>
        <w:spacing w:after="0" w:line="240" w:lineRule="auto"/>
        <w:ind w:firstLine="851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По сравнению с 202</w:t>
      </w:r>
      <w:r>
        <w:rPr>
          <w:rFonts w:ascii="Times New Roman" w:hAnsi="Times New Roman"/>
          <w:sz w:val="24"/>
          <w:szCs w:val="24"/>
          <w:lang w:eastAsia="ru-RU"/>
        </w:rPr>
        <w:t xml:space="preserve">3 годом</w:t>
      </w:r>
      <w:r>
        <w:rPr>
          <w:rFonts w:ascii="Times New Roman" w:hAnsi="Times New Roman"/>
          <w:sz w:val="24"/>
          <w:szCs w:val="24"/>
          <w:lang w:eastAsia="ru-RU"/>
        </w:rPr>
        <w:t xml:space="preserve">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количество обращений </w:t>
      </w:r>
      <w:r>
        <w:rPr>
          <w:rFonts w:ascii="Times New Roman" w:hAnsi="Times New Roman"/>
          <w:sz w:val="24"/>
          <w:szCs w:val="24"/>
          <w:lang w:eastAsia="ru-RU"/>
        </w:rPr>
        <w:t xml:space="preserve">от граждан, уменьшилось  н</w:t>
      </w:r>
      <w:r>
        <w:rPr>
          <w:rFonts w:ascii="Times New Roman" w:hAnsi="Times New Roman"/>
          <w:sz w:val="24"/>
          <w:szCs w:val="24"/>
          <w:lang w:eastAsia="ru-RU"/>
        </w:rPr>
        <w:t xml:space="preserve">а 7</w:t>
      </w:r>
      <w:r>
        <w:rPr>
          <w:rFonts w:ascii="Times New Roman" w:hAnsi="Times New Roman"/>
          <w:sz w:val="24"/>
          <w:szCs w:val="24"/>
          <w:lang w:eastAsia="ru-RU"/>
        </w:rPr>
        <w:t xml:space="preserve"> %. </w:t>
      </w:r>
      <w:r>
        <w:rPr>
          <w:rFonts w:ascii="Times New Roman" w:hAnsi="Times New Roman"/>
          <w:sz w:val="24"/>
          <w:szCs w:val="24"/>
        </w:rPr>
        <w:t xml:space="preserve">Тематическая структура обращений, поступающих в адрес Главы Поселения, в целом  остается традиционной, значительных изменений не отмечается, как и в аналогичном периоде предыдущего года. </w:t>
      </w:r>
      <w:r>
        <w:rPr>
          <w:rFonts w:ascii="Times New Roman" w:hAnsi="Times New Roman" w:eastAsia="Times New Roman"/>
          <w:sz w:val="24"/>
          <w:szCs w:val="24"/>
          <w:shd w:val="clear" w:color="auto" w:fill="ffffff"/>
          <w:lang w:eastAsia="ru-RU"/>
        </w:rPr>
        <w:t xml:space="preserve">Число коллективных обращений</w:t>
      </w:r>
      <w:r>
        <w:rPr>
          <w:rFonts w:ascii="Times New Roman" w:hAnsi="Times New Roman" w:eastAsia="Times New Roman"/>
          <w:sz w:val="24"/>
          <w:szCs w:val="24"/>
          <w:shd w:val="clear" w:color="auto" w:fill="ffffff"/>
          <w:lang w:eastAsia="ru-RU"/>
        </w:rPr>
        <w:t xml:space="preserve"> не</w:t>
      </w:r>
      <w:r>
        <w:rPr>
          <w:rFonts w:ascii="Times New Roman" w:hAnsi="Times New Roman" w:eastAsia="Times New Roman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shd w:val="clear" w:color="auto" w:fill="ffffff"/>
          <w:lang w:eastAsia="ru-RU"/>
        </w:rPr>
        <w:t xml:space="preserve">поступало</w:t>
      </w:r>
      <w:r>
        <w:rPr>
          <w:rFonts w:ascii="Times New Roman" w:hAnsi="Times New Roman" w:eastAsia="Times New Roman"/>
          <w:sz w:val="24"/>
          <w:szCs w:val="24"/>
          <w:shd w:val="clear" w:color="auto" w:fill="ffffff"/>
          <w:lang w:eastAsia="ru-RU"/>
        </w:rPr>
        <w:t xml:space="preserve">. </w:t>
      </w:r>
      <w:r>
        <w:rPr>
          <w:rFonts w:ascii="Times New Roman" w:hAnsi="Times New Roman"/>
          <w:sz w:val="24"/>
          <w:szCs w:val="24"/>
          <w:lang w:eastAsia="ru-RU"/>
        </w:rPr>
        <w:t xml:space="preserve">Большая часть ответов на обращения носит как  разъяснительный </w:t>
      </w:r>
      <w:r>
        <w:rPr>
          <w:rFonts w:ascii="Times New Roman" w:hAnsi="Times New Roman"/>
          <w:sz w:val="24"/>
          <w:szCs w:val="24"/>
          <w:lang w:eastAsia="ru-RU"/>
        </w:rPr>
        <w:t xml:space="preserve">характер,</w:t>
      </w:r>
      <w:r>
        <w:rPr>
          <w:rFonts w:ascii="Times New Roman" w:hAnsi="Times New Roman"/>
          <w:sz w:val="24"/>
          <w:szCs w:val="24"/>
          <w:lang w:eastAsia="ru-RU"/>
        </w:rPr>
        <w:t xml:space="preserve"> так и о</w:t>
      </w:r>
      <w:r>
        <w:rPr>
          <w:rFonts w:ascii="Times New Roman" w:hAnsi="Times New Roman"/>
          <w:sz w:val="24"/>
          <w:szCs w:val="24"/>
          <w:lang w:eastAsia="ru-RU"/>
        </w:rPr>
        <w:t xml:space="preserve">б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исполнении</w:t>
      </w:r>
      <w:r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.</w:t>
      </w:r>
      <w:r>
        <w:rPr>
          <w:rFonts w:ascii="Times New Roman" w:hAnsi="Times New Roman"/>
          <w:sz w:val="24"/>
          <w:szCs w:val="24"/>
          <w:lang w:eastAsia="ru-RU"/>
        </w:rPr>
        <w:t xml:space="preserve"> На все обращения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направлены ответы в установленные законодательством сроки. </w:t>
      </w:r>
      <w:r>
        <w:rPr>
          <w:rFonts w:ascii="Times New Roman" w:hAnsi="Times New Roman"/>
          <w:sz w:val="24"/>
          <w:szCs w:val="24"/>
          <w:lang w:eastAsia="ru-RU"/>
        </w:rPr>
        <w:t xml:space="preserve">Поступившая корреспонденция от граждан ставится на контроль и рассматривается с учетом тематики поставленных вопросов и компетенции </w:t>
      </w:r>
      <w:r>
        <w:rPr>
          <w:rFonts w:ascii="Times New Roman" w:hAnsi="Times New Roman"/>
          <w:sz w:val="24"/>
          <w:szCs w:val="24"/>
          <w:lang w:eastAsia="ru-RU"/>
        </w:rPr>
        <w:t xml:space="preserve">орган</w:t>
      </w:r>
      <w:r>
        <w:rPr>
          <w:rFonts w:ascii="Times New Roman" w:hAnsi="Times New Roman"/>
          <w:sz w:val="24"/>
          <w:szCs w:val="24"/>
          <w:lang w:eastAsia="ru-RU"/>
        </w:rPr>
        <w:t xml:space="preserve">а</w:t>
      </w:r>
      <w:r>
        <w:rPr>
          <w:rFonts w:ascii="Times New Roman" w:hAnsi="Times New Roman"/>
          <w:sz w:val="24"/>
          <w:szCs w:val="24"/>
          <w:lang w:eastAsia="ru-RU"/>
        </w:rPr>
        <w:t xml:space="preserve"> местного самоуправления</w:t>
      </w:r>
      <w:r>
        <w:rPr>
          <w:rFonts w:ascii="Times New Roman" w:hAnsi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664"/>
        <w:pBdr/>
        <w:spacing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Общая тематическая направленность, поступившей от граждан корреспонденции в течение отчетного периода, не претерпела значительных изменений по сравнению с 202</w:t>
      </w:r>
      <w:r>
        <w:rPr>
          <w:rFonts w:ascii="Times New Roman" w:hAnsi="Times New Roman"/>
          <w:color w:val="000000"/>
          <w:sz w:val="24"/>
          <w:szCs w:val="24"/>
        </w:rPr>
        <w:t xml:space="preserve">3 годом: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664"/>
        <w:pBdr/>
        <w:spacing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664"/>
        <w:pBdr/>
        <w:spacing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Уличное освещение;</w:t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664"/>
        <w:pBdr/>
        <w:spacing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Ремонт и строительство</w:t>
      </w:r>
      <w:r>
        <w:rPr>
          <w:rFonts w:ascii="Times New Roman" w:hAnsi="Times New Roman"/>
          <w:color w:val="000000"/>
          <w:sz w:val="24"/>
          <w:szCs w:val="24"/>
        </w:rPr>
        <w:t xml:space="preserve"> дорог;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664"/>
        <w:pBdr/>
        <w:spacing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Очистка дорог от снега.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sectPr>
      <w:footnotePr/>
      <w:endnotePr/>
      <w:type w:val="nextPage"/>
      <w:pgSz w:h="16838" w:orient="portrait" w:w="11906"/>
      <w:pgMar w:top="426" w:right="566" w:bottom="284" w:left="851" w:header="708" w:footer="708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lvl w:ilvl="0">
      <w:isLgl w:val="false"/>
      <w:lvlJc w:val="left"/>
      <w:lvlText w:val="%1."/>
      <w:numFmt w:val="decimal"/>
      <w:pPr>
        <w:pBdr/>
        <w:spacing/>
        <w:ind w:hanging="360" w:left="502"/>
      </w:pPr>
      <w:rPr/>
      <w:start w:val="1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1647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367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3087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3807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4527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247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5967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6687"/>
      </w:pPr>
      <w:rPr/>
      <w:start w:val="1"/>
      <w:suff w:val="tab"/>
    </w:lvl>
  </w:abstractNum>
  <w:abstractNum w:abstractNumId="1">
    <w:lvl w:ilvl="0">
      <w:isLgl w:val="false"/>
      <w:lvlJc w:val="left"/>
      <w:lvlText w:val="%1."/>
      <w:numFmt w:val="decimal"/>
      <w:pPr>
        <w:pBdr/>
        <w:spacing/>
        <w:ind w:hanging="360" w:left="927"/>
      </w:pPr>
      <w:rPr/>
      <w:start w:val="1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1647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367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3087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3807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4527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247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5967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6687"/>
      </w:pPr>
      <w:rPr/>
      <w:start w:val="1"/>
      <w:suff w:val="tab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0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">
    <w:name w:val="Table Grid"/>
    <w:basedOn w:val="10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">
    <w:name w:val="Table Grid Light"/>
    <w:basedOn w:val="10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">
    <w:name w:val="Plain Table 1"/>
    <w:basedOn w:val="10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">
    <w:name w:val="Plain Table 2"/>
    <w:basedOn w:val="10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">
    <w:name w:val="Plain Table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">
    <w:name w:val="Plain Table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">
    <w:name w:val="Plain Table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8">
    <w:name w:val="Grid Table 1 Light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9">
    <w:name w:val="Grid Table 1 Light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0">
    <w:name w:val="Grid Table 1 Light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1">
    <w:name w:val="Grid Table 1 Light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2">
    <w:name w:val="Grid Table 1 Light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3">
    <w:name w:val="Grid Table 1 Light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4">
    <w:name w:val="Grid Table 1 Light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5">
    <w:name w:val="Grid Table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6">
    <w:name w:val="Grid Table 2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7">
    <w:name w:val="Grid Table 2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8">
    <w:name w:val="Grid Table 2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9">
    <w:name w:val="Grid Table 2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0">
    <w:name w:val="Grid Table 2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1">
    <w:name w:val="Grid Table 2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2">
    <w:name w:val="Grid Table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3">
    <w:name w:val="Grid Table 3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4">
    <w:name w:val="Grid Table 3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5">
    <w:name w:val="Grid Table 3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6">
    <w:name w:val="Grid Table 3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7">
    <w:name w:val="Grid Table 3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8">
    <w:name w:val="Grid Table 3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9">
    <w:name w:val="Grid Table 4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0">
    <w:name w:val="Grid Table 4 - Accent 1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1">
    <w:name w:val="Grid Table 4 - Accent 2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2">
    <w:name w:val="Grid Table 4 - Accent 3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3">
    <w:name w:val="Grid Table 4 - Accent 4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4">
    <w:name w:val="Grid Table 4 - Accent 5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5">
    <w:name w:val="Grid Table 4 - Accent 6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6">
    <w:name w:val="Grid Table 5 Dark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7">
    <w:name w:val="Grid Table 5 Dark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be5f2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8">
    <w:name w:val="Grid Table 5 Dark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3dddc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Grid Table 5 Dark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bf1d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Grid Table 5 Dark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Grid Table 5 Dark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Grid Table 5 Dark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a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Grid Table 6 Colorful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Grid Table 6 Colorful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6 Colorful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6 Colorful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6 Colorful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6 Colorful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6 Colorful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7 Colorful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7 Colorful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7 Colorful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7 Colorful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7 Colorful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7 Colorful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7 Colorful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List Table 1 Light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List Table 1 Light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List Table 1 Light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List Table 1 Light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List Table 1 Light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List Table 1 Light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List Table 1 Light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List Table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List Table 2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List Table 2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List Table 2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List Table 2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List Table 2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List Table 2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List Table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List Table 3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List Table 3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List Table 3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List Table 3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List Table 3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List Table 3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List Table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List Table 4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List Table 4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List Table 4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List Table 4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List Table 4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List Table 4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List Table 5 Dark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List Table 5 Dark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List Table 5 Dark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a9796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List Table 5 Dark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c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List Table 5 Dark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7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List Table 5 Dark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2cddd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List Table 5 Dark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ac091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List Table 6 Colorful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List Table 6 Colorful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6 Colorful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6 Colorful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6 Colorful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6 Colorful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6 Colorful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7 Colorful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7 Colorful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7 Colorful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7 Colorful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7 Colorful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7 Colorful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7 Colorful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ned - Accent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ned - Accent 1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ned - Accent 2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ned - Accent 3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ned - Accent 4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ned - Accent 5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ned - Accent 6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Bordered &amp; Lined - Accent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Bordered &amp; Lined - Accent 1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Bordered &amp; Lined - Accent 2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Bordered &amp; Lined - Accent 3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Bordered &amp; Lined - Accent 4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Bordered &amp; Lined - Accent 5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Bordered &amp; Lined - Accent 6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Bordered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Bordered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Bordered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Bordered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Bordered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Bordered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Bordered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8">
    <w:name w:val="Heading 1"/>
    <w:basedOn w:val="664"/>
    <w:next w:val="664"/>
    <w:link w:val="149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39">
    <w:name w:val="Heading 2"/>
    <w:basedOn w:val="664"/>
    <w:next w:val="664"/>
    <w:link w:val="150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40">
    <w:name w:val="Heading 3"/>
    <w:basedOn w:val="664"/>
    <w:next w:val="664"/>
    <w:link w:val="151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41">
    <w:name w:val="Heading 4"/>
    <w:basedOn w:val="664"/>
    <w:next w:val="664"/>
    <w:link w:val="152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42">
    <w:name w:val="Heading 5"/>
    <w:basedOn w:val="664"/>
    <w:next w:val="664"/>
    <w:link w:val="153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43">
    <w:name w:val="Heading 6"/>
    <w:basedOn w:val="664"/>
    <w:next w:val="664"/>
    <w:link w:val="154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44">
    <w:name w:val="Heading 7"/>
    <w:basedOn w:val="664"/>
    <w:next w:val="664"/>
    <w:link w:val="155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45">
    <w:name w:val="Heading 8"/>
    <w:basedOn w:val="664"/>
    <w:next w:val="664"/>
    <w:link w:val="156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46">
    <w:name w:val="Heading 9"/>
    <w:basedOn w:val="664"/>
    <w:next w:val="664"/>
    <w:link w:val="157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47" w:default="1">
    <w:name w:val="Default Paragraph Font"/>
    <w:uiPriority w:val="1"/>
    <w:semiHidden/>
    <w:unhideWhenUsed/>
    <w:pPr>
      <w:pBdr/>
      <w:spacing/>
      <w:ind/>
    </w:pPr>
  </w:style>
  <w:style w:type="numbering" w:styleId="148" w:default="1">
    <w:name w:val="No List"/>
    <w:uiPriority w:val="99"/>
    <w:semiHidden/>
    <w:unhideWhenUsed/>
    <w:pPr>
      <w:pBdr/>
      <w:spacing/>
      <w:ind/>
    </w:pPr>
  </w:style>
  <w:style w:type="character" w:styleId="149">
    <w:name w:val="Heading 1 Char"/>
    <w:basedOn w:val="147"/>
    <w:link w:val="13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0">
    <w:name w:val="Heading 2 Char"/>
    <w:basedOn w:val="147"/>
    <w:link w:val="13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1">
    <w:name w:val="Heading 3 Char"/>
    <w:basedOn w:val="147"/>
    <w:link w:val="14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">
    <w:name w:val="Heading 4 Char"/>
    <w:basedOn w:val="147"/>
    <w:link w:val="141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">
    <w:name w:val="Heading 5 Char"/>
    <w:basedOn w:val="147"/>
    <w:link w:val="142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4">
    <w:name w:val="Heading 6 Char"/>
    <w:basedOn w:val="147"/>
    <w:link w:val="143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5">
    <w:name w:val="Heading 7 Char"/>
    <w:basedOn w:val="147"/>
    <w:link w:val="144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6">
    <w:name w:val="Heading 8 Char"/>
    <w:basedOn w:val="147"/>
    <w:link w:val="145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7">
    <w:name w:val="Heading 9 Char"/>
    <w:basedOn w:val="147"/>
    <w:link w:val="146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8">
    <w:name w:val="Title"/>
    <w:basedOn w:val="664"/>
    <w:next w:val="664"/>
    <w:link w:val="159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9">
    <w:name w:val="Title Char"/>
    <w:basedOn w:val="147"/>
    <w:link w:val="158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60">
    <w:name w:val="Subtitle"/>
    <w:basedOn w:val="664"/>
    <w:next w:val="664"/>
    <w:link w:val="161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61">
    <w:name w:val="Subtitle Char"/>
    <w:basedOn w:val="147"/>
    <w:link w:val="160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62">
    <w:name w:val="Quote"/>
    <w:basedOn w:val="664"/>
    <w:next w:val="664"/>
    <w:link w:val="163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63">
    <w:name w:val="Quote Char"/>
    <w:basedOn w:val="147"/>
    <w:link w:val="162"/>
    <w:uiPriority w:val="29"/>
    <w:pPr>
      <w:pBdr/>
      <w:spacing/>
      <w:ind/>
    </w:pPr>
    <w:rPr>
      <w:i/>
      <w:iCs/>
      <w:color w:val="404040" w:themeColor="text1" w:themeTint="BF"/>
    </w:rPr>
  </w:style>
  <w:style w:type="paragraph" w:styleId="164">
    <w:name w:val="List Paragraph"/>
    <w:basedOn w:val="664"/>
    <w:uiPriority w:val="34"/>
    <w:qFormat/>
    <w:pPr>
      <w:pBdr/>
      <w:spacing/>
      <w:ind w:left="720"/>
      <w:contextualSpacing w:val="true"/>
    </w:pPr>
  </w:style>
  <w:style w:type="character" w:styleId="165">
    <w:name w:val="Intense Emphasis"/>
    <w:basedOn w:val="147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66">
    <w:name w:val="Intense Quote"/>
    <w:basedOn w:val="664"/>
    <w:next w:val="664"/>
    <w:link w:val="167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67">
    <w:name w:val="Intense Quote Char"/>
    <w:basedOn w:val="147"/>
    <w:link w:val="166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147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paragraph" w:styleId="169">
    <w:name w:val="No Spacing"/>
    <w:basedOn w:val="664"/>
    <w:uiPriority w:val="1"/>
    <w:qFormat/>
    <w:pPr>
      <w:pBdr/>
      <w:spacing w:after="0" w:line="240" w:lineRule="auto"/>
      <w:ind/>
    </w:pPr>
  </w:style>
  <w:style w:type="character" w:styleId="170">
    <w:name w:val="Subtle Emphasis"/>
    <w:basedOn w:val="147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147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147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147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147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175">
    <w:name w:val="Header"/>
    <w:basedOn w:val="664"/>
    <w:link w:val="176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6">
    <w:name w:val="Header Char"/>
    <w:basedOn w:val="147"/>
    <w:link w:val="175"/>
    <w:uiPriority w:val="99"/>
    <w:pPr>
      <w:pBdr/>
      <w:spacing/>
      <w:ind/>
    </w:pPr>
  </w:style>
  <w:style w:type="paragraph" w:styleId="177">
    <w:name w:val="Footer"/>
    <w:basedOn w:val="664"/>
    <w:link w:val="178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8">
    <w:name w:val="Footer Char"/>
    <w:basedOn w:val="147"/>
    <w:link w:val="177"/>
    <w:uiPriority w:val="99"/>
    <w:pPr>
      <w:pBdr/>
      <w:spacing/>
      <w:ind/>
    </w:pPr>
  </w:style>
  <w:style w:type="paragraph" w:styleId="179">
    <w:name w:val="Caption"/>
    <w:basedOn w:val="664"/>
    <w:next w:val="664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180">
    <w:name w:val="footnote text"/>
    <w:basedOn w:val="664"/>
    <w:link w:val="18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1">
    <w:name w:val="Footnote Text Char"/>
    <w:basedOn w:val="147"/>
    <w:link w:val="180"/>
    <w:uiPriority w:val="99"/>
    <w:semiHidden/>
    <w:pPr>
      <w:pBdr/>
      <w:spacing/>
      <w:ind/>
    </w:pPr>
    <w:rPr>
      <w:sz w:val="20"/>
      <w:szCs w:val="20"/>
    </w:rPr>
  </w:style>
  <w:style w:type="character" w:styleId="182">
    <w:name w:val="foot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paragraph" w:styleId="183">
    <w:name w:val="endnote text"/>
    <w:basedOn w:val="664"/>
    <w:link w:val="18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4">
    <w:name w:val="Endnote Text Char"/>
    <w:basedOn w:val="147"/>
    <w:link w:val="183"/>
    <w:uiPriority w:val="99"/>
    <w:semiHidden/>
    <w:pPr>
      <w:pBdr/>
      <w:spacing/>
      <w:ind/>
    </w:pPr>
    <w:rPr>
      <w:sz w:val="20"/>
      <w:szCs w:val="20"/>
    </w:rPr>
  </w:style>
  <w:style w:type="character" w:styleId="185">
    <w:name w:val="end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character" w:styleId="186">
    <w:name w:val="Hyperlink"/>
    <w:basedOn w:val="147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87">
    <w:name w:val="FollowedHyperlink"/>
    <w:basedOn w:val="147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88">
    <w:name w:val="toc 1"/>
    <w:basedOn w:val="664"/>
    <w:next w:val="664"/>
    <w:uiPriority w:val="39"/>
    <w:unhideWhenUsed/>
    <w:pPr>
      <w:pBdr/>
      <w:spacing w:after="100"/>
      <w:ind/>
    </w:pPr>
  </w:style>
  <w:style w:type="paragraph" w:styleId="189">
    <w:name w:val="toc 2"/>
    <w:basedOn w:val="664"/>
    <w:next w:val="664"/>
    <w:uiPriority w:val="39"/>
    <w:unhideWhenUsed/>
    <w:pPr>
      <w:pBdr/>
      <w:spacing w:after="100"/>
      <w:ind w:left="220"/>
    </w:pPr>
  </w:style>
  <w:style w:type="paragraph" w:styleId="190">
    <w:name w:val="toc 3"/>
    <w:basedOn w:val="664"/>
    <w:next w:val="664"/>
    <w:uiPriority w:val="39"/>
    <w:unhideWhenUsed/>
    <w:pPr>
      <w:pBdr/>
      <w:spacing w:after="100"/>
      <w:ind w:left="440"/>
    </w:pPr>
  </w:style>
  <w:style w:type="paragraph" w:styleId="191">
    <w:name w:val="toc 4"/>
    <w:basedOn w:val="664"/>
    <w:next w:val="664"/>
    <w:uiPriority w:val="39"/>
    <w:unhideWhenUsed/>
    <w:pPr>
      <w:pBdr/>
      <w:spacing w:after="100"/>
      <w:ind w:left="660"/>
    </w:pPr>
  </w:style>
  <w:style w:type="paragraph" w:styleId="192">
    <w:name w:val="toc 5"/>
    <w:basedOn w:val="664"/>
    <w:next w:val="664"/>
    <w:uiPriority w:val="39"/>
    <w:unhideWhenUsed/>
    <w:pPr>
      <w:pBdr/>
      <w:spacing w:after="100"/>
      <w:ind w:left="880"/>
    </w:pPr>
  </w:style>
  <w:style w:type="paragraph" w:styleId="193">
    <w:name w:val="toc 6"/>
    <w:basedOn w:val="664"/>
    <w:next w:val="664"/>
    <w:uiPriority w:val="39"/>
    <w:unhideWhenUsed/>
    <w:pPr>
      <w:pBdr/>
      <w:spacing w:after="100"/>
      <w:ind w:left="1100"/>
    </w:pPr>
  </w:style>
  <w:style w:type="paragraph" w:styleId="194">
    <w:name w:val="toc 7"/>
    <w:basedOn w:val="664"/>
    <w:next w:val="664"/>
    <w:uiPriority w:val="39"/>
    <w:unhideWhenUsed/>
    <w:pPr>
      <w:pBdr/>
      <w:spacing w:after="100"/>
      <w:ind w:left="1320"/>
    </w:pPr>
  </w:style>
  <w:style w:type="paragraph" w:styleId="195">
    <w:name w:val="toc 8"/>
    <w:basedOn w:val="664"/>
    <w:next w:val="664"/>
    <w:uiPriority w:val="39"/>
    <w:unhideWhenUsed/>
    <w:pPr>
      <w:pBdr/>
      <w:spacing w:after="100"/>
      <w:ind w:left="1540"/>
    </w:pPr>
  </w:style>
  <w:style w:type="paragraph" w:styleId="196">
    <w:name w:val="toc 9"/>
    <w:basedOn w:val="664"/>
    <w:next w:val="664"/>
    <w:uiPriority w:val="39"/>
    <w:unhideWhenUsed/>
    <w:pPr>
      <w:pBdr/>
      <w:spacing w:after="100"/>
      <w:ind w:left="1760"/>
    </w:pPr>
  </w:style>
  <w:style w:type="paragraph" w:styleId="206">
    <w:name w:val="TOC Heading"/>
    <w:uiPriority w:val="39"/>
    <w:unhideWhenUsed/>
    <w:pPr>
      <w:pBdr/>
      <w:spacing/>
      <w:ind/>
    </w:pPr>
  </w:style>
  <w:style w:type="paragraph" w:styleId="207">
    <w:name w:val="table of figures"/>
    <w:basedOn w:val="664"/>
    <w:next w:val="664"/>
    <w:uiPriority w:val="99"/>
    <w:unhideWhenUsed/>
    <w:pPr>
      <w:pBdr/>
      <w:spacing w:after="0" w:afterAutospacing="0"/>
      <w:ind/>
    </w:pPr>
  </w:style>
  <w:style w:type="paragraph" w:styleId="664" w:default="1">
    <w:name w:val="Normal"/>
    <w:next w:val="664"/>
    <w:link w:val="664"/>
    <w:qFormat/>
    <w:pPr>
      <w:pBdr/>
      <w:spacing w:after="200" w:line="276" w:lineRule="auto"/>
      <w:ind/>
    </w:pPr>
    <w:rPr>
      <w:sz w:val="22"/>
      <w:szCs w:val="22"/>
      <w:lang w:val="ru-RU" w:eastAsia="en-US" w:bidi="ar-SA"/>
    </w:rPr>
  </w:style>
  <w:style w:type="character" w:styleId="665">
    <w:name w:val="Основной шрифт абзаца"/>
    <w:next w:val="665"/>
    <w:link w:val="664"/>
    <w:uiPriority w:val="1"/>
    <w:semiHidden/>
    <w:unhideWhenUsed/>
    <w:pPr>
      <w:pBdr/>
      <w:spacing/>
      <w:ind/>
    </w:pPr>
  </w:style>
  <w:style w:type="table" w:styleId="666">
    <w:name w:val="Обычная таблица"/>
    <w:next w:val="666"/>
    <w:link w:val="664"/>
    <w:uiPriority w:val="99"/>
    <w:semiHidden/>
    <w:unhideWhenUsed/>
    <w:qFormat/>
    <w:pPr>
      <w:pBdr/>
      <w:spacing/>
      <w:ind/>
    </w:pPr>
    <w:tblPr>
      <w:tblW w:w="0" w:type="auto"/>
      <w:tblInd w:w="0" w:type="dxa"/>
      <w:tblBorders/>
      <w:tblLayout w:type="fixed"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667">
    <w:name w:val="Нет списка"/>
    <w:next w:val="667"/>
    <w:link w:val="664"/>
    <w:uiPriority w:val="99"/>
    <w:semiHidden/>
    <w:unhideWhenUsed/>
    <w:pPr>
      <w:pBdr/>
      <w:spacing/>
      <w:ind/>
    </w:pPr>
  </w:style>
  <w:style w:type="paragraph" w:styleId="668">
    <w:name w:val="Абзац списка"/>
    <w:basedOn w:val="664"/>
    <w:next w:val="668"/>
    <w:link w:val="664"/>
    <w:uiPriority w:val="34"/>
    <w:qFormat/>
    <w:pPr>
      <w:pBdr/>
      <w:spacing w:after="160" w:line="259" w:lineRule="auto"/>
      <w:ind w:left="720"/>
      <w:contextualSpacing w:val="true"/>
    </w:pPr>
    <w:rPr>
      <w:rFonts w:ascii="Calibri" w:hAnsi="Calibri" w:eastAsia="Calibri" w:cs="Times New Roman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Application>ONLYOFFICE/8.2.1.38</Application>
  <DocSecurity>0</DocSecurity>
  <ScaleCrop>0</ScaleCrop>
  <HeadingPairs>
    <vt:vector size="0" baseType="variant"/>
  </HeadingPairs>
  <TitlesOfParts>
    <vt:vector size="0" baseType="lpstr"/>
  </TitlesOfParts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Ахметзянова</dc:creator>
  <cp:revision>11</cp:revision>
  <dcterms:created xsi:type="dcterms:W3CDTF">2023-12-01T11:24:00Z</dcterms:created>
  <dcterms:modified xsi:type="dcterms:W3CDTF">2025-01-24T06:27:45Z</dcterms:modified>
  <cp:version>1048576</cp:version>
</cp:coreProperties>
</file>